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A165" w14:textId="77777777" w:rsidR="001B560F" w:rsidRPr="0039337F" w:rsidRDefault="001B560F" w:rsidP="001B560F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2"/>
      <w:r>
        <w:rPr>
          <w:rFonts w:ascii="Times New Roman" w:hAnsi="Times New Roman" w:cs="Times New Roman"/>
          <w:w w:val="105"/>
        </w:rPr>
        <w:t>ECONOMIA AZIENDALE</w:t>
      </w:r>
      <w:bookmarkEnd w:id="0"/>
    </w:p>
    <w:p w14:paraId="74E4788E" w14:textId="77777777" w:rsidR="001B560F" w:rsidRPr="00954197" w:rsidRDefault="001B560F" w:rsidP="001B560F">
      <w:pPr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 w:rsidRPr="003256BB">
        <w:rPr>
          <w:rFonts w:ascii="Times New Roman" w:hAnsi="Times New Roman" w:cs="Times New Roman"/>
          <w:sz w:val="24"/>
          <w:szCs w:val="24"/>
        </w:rPr>
        <w:t>Alessandro LAI, Professore Ordinario di Economia Aziendale, Università degli Studi, Verona</w:t>
      </w:r>
      <w:r w:rsidRPr="00954197">
        <w:rPr>
          <w:rFonts w:ascii="Times New Roman" w:hAnsi="Times New Roman" w:cs="Times New Roman"/>
          <w:sz w:val="24"/>
          <w:szCs w:val="24"/>
        </w:rPr>
        <w:t>.</w:t>
      </w:r>
    </w:p>
    <w:p w14:paraId="7BF1C9C2" w14:textId="77777777" w:rsidR="001B560F" w:rsidRPr="00954197" w:rsidRDefault="001B560F" w:rsidP="001B560F">
      <w:pPr>
        <w:spacing w:before="200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 xml:space="preserve">Collaboratori: </w:t>
      </w:r>
    </w:p>
    <w:p w14:paraId="05D60028" w14:textId="77777777" w:rsidR="001B560F" w:rsidRDefault="001B560F" w:rsidP="001B560F">
      <w:pPr>
        <w:pStyle w:val="Paragrafoelenco"/>
        <w:numPr>
          <w:ilvl w:val="0"/>
          <w:numId w:val="1"/>
        </w:numPr>
        <w:spacing w:before="200"/>
        <w:ind w:left="567" w:hanging="283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3256BB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Riccardo STACCHEZZINI, Professore Associato di Economia Aziendale, Università degli Studi, Verona </w:t>
      </w:r>
    </w:p>
    <w:p w14:paraId="7DD0A890" w14:textId="77777777" w:rsidR="001B560F" w:rsidRPr="0039337F" w:rsidRDefault="001B560F" w:rsidP="001B560F">
      <w:pPr>
        <w:pStyle w:val="Paragrafoelenco"/>
        <w:numPr>
          <w:ilvl w:val="0"/>
          <w:numId w:val="1"/>
        </w:numPr>
        <w:spacing w:before="200"/>
        <w:ind w:left="567" w:hanging="283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3256BB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Cristina FLORIO, Professore associato di Economia Aziendale, Università degli Studi, Verona</w:t>
      </w:r>
    </w:p>
    <w:p w14:paraId="48DF98B1" w14:textId="77777777" w:rsidR="001B560F" w:rsidRDefault="001B560F" w:rsidP="001B560F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gennaio </w:t>
      </w:r>
      <w:r w:rsidRPr="00030D9C">
        <w:rPr>
          <w:rFonts w:ascii="Times New Roman" w:hAnsi="Times New Roman" w:cs="Times New Roman"/>
          <w:spacing w:val="-3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marzo</w:t>
      </w:r>
    </w:p>
    <w:p w14:paraId="44F1AC38" w14:textId="77777777" w:rsidR="001B560F" w:rsidRDefault="001B560F" w:rsidP="001B560F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4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CFU, </w:t>
      </w:r>
      <w:r>
        <w:rPr>
          <w:rFonts w:ascii="Times New Roman"/>
        </w:rPr>
        <w:t>SSD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SECS-P/07</w:t>
      </w:r>
    </w:p>
    <w:p w14:paraId="0668CC18" w14:textId="77777777" w:rsidR="001B560F" w:rsidRDefault="001B560F" w:rsidP="001B560F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D6A6FD5" w14:textId="77777777" w:rsidR="001B560F" w:rsidRDefault="001B560F" w:rsidP="001B560F">
      <w:pPr>
        <w:pStyle w:val="Citazioneintensa"/>
        <w:ind w:left="1560" w:right="-1" w:hanging="1560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77514AA4" w14:textId="77777777" w:rsidR="001B560F" w:rsidRPr="00042906" w:rsidRDefault="001B560F" w:rsidP="001B560F">
      <w:pPr>
        <w:jc w:val="both"/>
        <w:rPr>
          <w:rFonts w:ascii="Times New Roman" w:hAnsi="Times New Roman" w:cs="Times New Roman"/>
          <w:sz w:val="24"/>
          <w:szCs w:val="24"/>
        </w:rPr>
      </w:pPr>
      <w:r w:rsidRPr="00042906">
        <w:rPr>
          <w:rFonts w:ascii="Times New Roman" w:hAnsi="Times New Roman" w:cs="Times New Roman"/>
          <w:sz w:val="24"/>
          <w:szCs w:val="24"/>
        </w:rPr>
        <w:t>L’obiettivo dell’insegnamento è di fornire una base di conoscenze rivolte alla comprensione delle imprese del nostro tempo attraverso la qualificazione delle dimensioni del sistema d’impresa e l’approfondimento dell’assetto competitivo e di quello economico-finanziario. Con riguardo a quest’ultimo, l’insegnamento fornisce le basi per la comprensione e la lettura del bilancio di esercizio.</w:t>
      </w:r>
    </w:p>
    <w:p w14:paraId="04A976FC" w14:textId="77777777" w:rsidR="001B560F" w:rsidRDefault="001B560F" w:rsidP="001B560F">
      <w:pPr>
        <w:jc w:val="both"/>
        <w:rPr>
          <w:rFonts w:ascii="Times New Roman" w:hAnsi="Times New Roman" w:cs="Times New Roman"/>
          <w:sz w:val="24"/>
          <w:szCs w:val="24"/>
        </w:rPr>
      </w:pPr>
      <w:r w:rsidRPr="00042906">
        <w:rPr>
          <w:rFonts w:ascii="Times New Roman" w:hAnsi="Times New Roman" w:cs="Times New Roman"/>
          <w:sz w:val="24"/>
          <w:szCs w:val="24"/>
        </w:rPr>
        <w:t>Il corso offre una visione integrata del sistema aziendale, osservato nei suoi assetti e nelle sue caratteristiche di funzionamento, avuto riguardo al contesto economico-sociale in cui le imprese sono chiamate ad operare.</w:t>
      </w:r>
    </w:p>
    <w:p w14:paraId="74464955" w14:textId="77777777" w:rsidR="001B560F" w:rsidRDefault="001B560F" w:rsidP="001B560F">
      <w:pPr>
        <w:pStyle w:val="Citazioneintensa"/>
        <w:tabs>
          <w:tab w:val="left" w:pos="8789"/>
        </w:tabs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47782D07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fondamenti per lo studio delle imprese nel moderno contesto economico-sociale</w:t>
      </w:r>
    </w:p>
    <w:p w14:paraId="686435CA" w14:textId="77777777" w:rsidR="001B560F" w:rsidRDefault="001B560F" w:rsidP="001B56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operatori economici e il sistema di impresa: loro funzioni e reciproche relazioni. </w:t>
      </w:r>
    </w:p>
    <w:p w14:paraId="677074D3" w14:textId="77777777" w:rsidR="001B560F" w:rsidRDefault="001B560F" w:rsidP="001B56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ruolo dell’impresa in un’economia di mercato </w:t>
      </w:r>
    </w:p>
    <w:p w14:paraId="603EB8D0" w14:textId="77777777" w:rsidR="001B560F" w:rsidRDefault="001B560F" w:rsidP="001B56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rapporto impresa-ambiente </w:t>
      </w:r>
    </w:p>
    <w:p w14:paraId="6144EE8F" w14:textId="77777777" w:rsidR="001B560F" w:rsidRDefault="001B560F" w:rsidP="001B56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dimensioni del sistema di impresa. Docente: A. Lai</w:t>
      </w:r>
    </w:p>
    <w:p w14:paraId="2C80CC7A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rapporto tra impresa e </w:t>
      </w:r>
      <w:r w:rsidRPr="00066130">
        <w:rPr>
          <w:rFonts w:ascii="Times New Roman" w:hAnsi="Times New Roman" w:cs="Times New Roman"/>
          <w:i/>
          <w:iCs/>
          <w:sz w:val="24"/>
          <w:szCs w:val="24"/>
        </w:rPr>
        <w:t>stakeholder</w:t>
      </w:r>
    </w:p>
    <w:p w14:paraId="643126B4" w14:textId="77777777" w:rsidR="001B560F" w:rsidRDefault="001B560F" w:rsidP="001B560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classi di interessi convergenti nell’impresa. </w:t>
      </w:r>
    </w:p>
    <w:p w14:paraId="4CA6C50B" w14:textId="77777777" w:rsidR="001B560F" w:rsidRDefault="001B560F" w:rsidP="001B560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Categorie di imprese e ricaduta del rischio economico-generale. </w:t>
      </w:r>
    </w:p>
    <w:p w14:paraId="34E2284A" w14:textId="77777777" w:rsidR="001B560F" w:rsidRDefault="001B560F" w:rsidP="001B560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rapporti lavoro nell’impresa. </w:t>
      </w:r>
    </w:p>
    <w:p w14:paraId="63306AEF" w14:textId="77777777" w:rsidR="001B560F" w:rsidRDefault="001B560F" w:rsidP="001B560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responsabilità dell’impresa nei confronti degli stakeholder. Docente: A. Lai</w:t>
      </w:r>
    </w:p>
    <w:p w14:paraId="53833AAD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dimensione competitiva del sistema d’impresa</w:t>
      </w:r>
    </w:p>
    <w:p w14:paraId="6C6ECF3E" w14:textId="77777777" w:rsidR="001B560F" w:rsidRDefault="001B560F" w:rsidP="001B560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Strategia aziendale: cenni introduttivi e livelli di analisi. </w:t>
      </w:r>
    </w:p>
    <w:p w14:paraId="721179E7" w14:textId="77777777" w:rsidR="001B560F" w:rsidRDefault="001B560F" w:rsidP="001B560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Strategia competitiva e le Aree Strategiche d’Affari (A.S.A.)</w:t>
      </w:r>
    </w:p>
    <w:p w14:paraId="237E80D7" w14:textId="77777777" w:rsidR="001B560F" w:rsidRDefault="001B560F" w:rsidP="001B560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elementi della formula competitiva di A.S.A.</w:t>
      </w:r>
    </w:p>
    <w:p w14:paraId="47217D90" w14:textId="77777777" w:rsidR="001B560F" w:rsidRDefault="001B560F" w:rsidP="001B560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modelli di riferimento per l’analisi del sistema competitivo. Docente: S. Florio</w:t>
      </w:r>
    </w:p>
    <w:p w14:paraId="6ADAE5C3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D8">
        <w:rPr>
          <w:rFonts w:ascii="Times New Roman" w:hAnsi="Times New Roman" w:cs="Times New Roman"/>
          <w:sz w:val="24"/>
          <w:szCs w:val="24"/>
        </w:rPr>
        <w:t xml:space="preserve">Le strategie a livello corporate </w:t>
      </w:r>
    </w:p>
    <w:p w14:paraId="6AAD4B9E" w14:textId="77777777" w:rsidR="001B560F" w:rsidRDefault="001B560F" w:rsidP="001B560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D8">
        <w:rPr>
          <w:rFonts w:ascii="Times New Roman" w:hAnsi="Times New Roman" w:cs="Times New Roman"/>
          <w:sz w:val="24"/>
          <w:szCs w:val="24"/>
        </w:rPr>
        <w:t>Le strategie di portafoglio ASA.</w:t>
      </w:r>
    </w:p>
    <w:p w14:paraId="153AEE41" w14:textId="77777777" w:rsidR="001B560F" w:rsidRDefault="001B560F" w:rsidP="001B560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D8">
        <w:rPr>
          <w:rFonts w:ascii="Times New Roman" w:hAnsi="Times New Roman" w:cs="Times New Roman"/>
          <w:sz w:val="24"/>
          <w:szCs w:val="24"/>
        </w:rPr>
        <w:t>Le altre strategie a livello corporate: cenni e rinvio. Docente: S. Florio</w:t>
      </w:r>
    </w:p>
    <w:p w14:paraId="10D2DEC6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9C7">
        <w:rPr>
          <w:rFonts w:ascii="Times New Roman" w:hAnsi="Times New Roman" w:cs="Times New Roman"/>
          <w:sz w:val="24"/>
          <w:szCs w:val="24"/>
        </w:rPr>
        <w:t xml:space="preserve">La dimensione economico-finanziaria del sistema d’impresa </w:t>
      </w:r>
    </w:p>
    <w:p w14:paraId="04B91D63" w14:textId="77777777" w:rsidR="001B560F" w:rsidRDefault="001B560F" w:rsidP="001B560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9C7">
        <w:rPr>
          <w:rFonts w:ascii="Times New Roman" w:hAnsi="Times New Roman" w:cs="Times New Roman"/>
          <w:sz w:val="24"/>
          <w:szCs w:val="24"/>
        </w:rPr>
        <w:t>I valori dell’attivo come impieghi di risorse</w:t>
      </w:r>
    </w:p>
    <w:p w14:paraId="4CA90F12" w14:textId="77777777" w:rsidR="001B560F" w:rsidRDefault="001B560F" w:rsidP="001B560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9C7">
        <w:rPr>
          <w:rFonts w:ascii="Times New Roman" w:hAnsi="Times New Roman" w:cs="Times New Roman"/>
          <w:sz w:val="24"/>
          <w:szCs w:val="24"/>
        </w:rPr>
        <w:t>I valori del passivo come fonti di finanziamento.</w:t>
      </w:r>
    </w:p>
    <w:p w14:paraId="0CB3F08C" w14:textId="77777777" w:rsidR="001B560F" w:rsidRDefault="001B560F" w:rsidP="001B560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9C7">
        <w:rPr>
          <w:rFonts w:ascii="Times New Roman" w:hAnsi="Times New Roman" w:cs="Times New Roman"/>
          <w:sz w:val="24"/>
          <w:szCs w:val="24"/>
        </w:rPr>
        <w:t>La formazione del risultato economico della gestione operativa, finanziaria e fiscale.</w:t>
      </w:r>
    </w:p>
    <w:p w14:paraId="6E1FD784" w14:textId="77777777" w:rsidR="001B560F" w:rsidRDefault="001B560F" w:rsidP="001B560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9C7">
        <w:rPr>
          <w:rFonts w:ascii="Times New Roman" w:hAnsi="Times New Roman" w:cs="Times New Roman"/>
          <w:sz w:val="24"/>
          <w:szCs w:val="24"/>
        </w:rPr>
        <w:t xml:space="preserve">I flussi di cassa della gestione operativa e delle altre aree di gestione. Docente: R. </w:t>
      </w:r>
      <w:proofErr w:type="spellStart"/>
      <w:r w:rsidRPr="003D29C7">
        <w:rPr>
          <w:rFonts w:ascii="Times New Roman" w:hAnsi="Times New Roman" w:cs="Times New Roman"/>
          <w:sz w:val="24"/>
          <w:szCs w:val="24"/>
        </w:rPr>
        <w:t>Stacchezzini</w:t>
      </w:r>
      <w:proofErr w:type="spellEnd"/>
    </w:p>
    <w:p w14:paraId="569BC6AE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 xml:space="preserve">Introduzione al bilancio di esercizio </w:t>
      </w:r>
    </w:p>
    <w:p w14:paraId="3121F86C" w14:textId="77777777" w:rsidR="001B560F" w:rsidRDefault="001B560F" w:rsidP="001B560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>Il fascicolo di bilancio</w:t>
      </w:r>
    </w:p>
    <w:p w14:paraId="7F4420B2" w14:textId="77777777" w:rsidR="001B560F" w:rsidRDefault="001B560F" w:rsidP="001B560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>I principi di redazione</w:t>
      </w:r>
    </w:p>
    <w:p w14:paraId="73A74838" w14:textId="77777777" w:rsidR="001B560F" w:rsidRDefault="001B560F" w:rsidP="001B560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>Gli schemi di bilancio</w:t>
      </w:r>
    </w:p>
    <w:p w14:paraId="738A7A69" w14:textId="77777777" w:rsidR="001B560F" w:rsidRPr="00570BBD" w:rsidRDefault="001B560F" w:rsidP="001B560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 xml:space="preserve">I principali criteri di valutazione. Docente: R. </w:t>
      </w:r>
      <w:proofErr w:type="spellStart"/>
      <w:r w:rsidRPr="00570BBD">
        <w:rPr>
          <w:rFonts w:ascii="Times New Roman" w:hAnsi="Times New Roman" w:cs="Times New Roman"/>
          <w:sz w:val="24"/>
          <w:szCs w:val="24"/>
        </w:rPr>
        <w:t>Stacchezzini</w:t>
      </w:r>
      <w:proofErr w:type="spellEnd"/>
    </w:p>
    <w:p w14:paraId="228707E8" w14:textId="77777777" w:rsidR="001B560F" w:rsidRDefault="001B560F" w:rsidP="001B56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 xml:space="preserve">La lettura del bilancio di esercizio </w:t>
      </w:r>
    </w:p>
    <w:p w14:paraId="31470934" w14:textId="77777777" w:rsidR="001B560F" w:rsidRDefault="001B560F" w:rsidP="001B560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BD">
        <w:rPr>
          <w:rFonts w:ascii="Times New Roman" w:hAnsi="Times New Roman" w:cs="Times New Roman"/>
          <w:sz w:val="24"/>
          <w:szCs w:val="24"/>
        </w:rPr>
        <w:t>La comprensione dello “stato di salute” aziendale attraverso la lettura del bilancio</w:t>
      </w:r>
    </w:p>
    <w:p w14:paraId="0D38D308" w14:textId="77777777" w:rsidR="001B560F" w:rsidRDefault="001B560F" w:rsidP="001B560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AEC">
        <w:rPr>
          <w:rFonts w:ascii="Times New Roman" w:hAnsi="Times New Roman" w:cs="Times New Roman"/>
          <w:sz w:val="24"/>
          <w:szCs w:val="24"/>
        </w:rPr>
        <w:t>Interpretazione della dinamica reddituale attraverso la lettura del conto economico</w:t>
      </w:r>
    </w:p>
    <w:p w14:paraId="580483CA" w14:textId="77777777" w:rsidR="001B560F" w:rsidRPr="00547AEC" w:rsidRDefault="001B560F" w:rsidP="001B560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AEC">
        <w:rPr>
          <w:rFonts w:ascii="Times New Roman" w:hAnsi="Times New Roman" w:cs="Times New Roman"/>
          <w:sz w:val="24"/>
          <w:szCs w:val="24"/>
        </w:rPr>
        <w:t>Interpretazione delle condizioni di liquidità e di solidità attraverso la lettura dello stato patrimoniale.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AEC">
        <w:rPr>
          <w:rFonts w:ascii="Times New Roman" w:hAnsi="Times New Roman" w:cs="Times New Roman"/>
          <w:sz w:val="24"/>
          <w:szCs w:val="24"/>
        </w:rPr>
        <w:t xml:space="preserve">Docente: R. </w:t>
      </w:r>
      <w:proofErr w:type="spellStart"/>
      <w:r w:rsidRPr="00547AEC">
        <w:rPr>
          <w:rFonts w:ascii="Times New Roman" w:hAnsi="Times New Roman" w:cs="Times New Roman"/>
          <w:sz w:val="24"/>
          <w:szCs w:val="24"/>
        </w:rPr>
        <w:t>Stacchezzini</w:t>
      </w:r>
      <w:proofErr w:type="spellEnd"/>
    </w:p>
    <w:p w14:paraId="4040CAD4" w14:textId="77777777" w:rsidR="001B560F" w:rsidRDefault="001B560F" w:rsidP="001B560F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10B1F6D1" w14:textId="77777777" w:rsidR="001B560F" w:rsidRPr="00E46B46" w:rsidRDefault="001B560F" w:rsidP="001B560F">
      <w:p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Il materiale didattico cui gli studenti dovranno fare riferimento è il seguente:</w:t>
      </w:r>
    </w:p>
    <w:p w14:paraId="16567490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AIROLDI G., AMATORI F., INVERNIZZI G. (a cura di), Proprietà e governo delle imprese italiane, Egea, Milano, 1995.</w:t>
      </w:r>
    </w:p>
    <w:p w14:paraId="0DC27A7A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 xml:space="preserve">BERETTA ZANONI A., CAMPEDELLI B., Economia dell’impresa. Governo e controllo, Il Mulino, Bologna, 2006. </w:t>
      </w:r>
    </w:p>
    <w:p w14:paraId="78E15CB4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 xml:space="preserve">CATTANEO M., Economia delle aziende di produzione, </w:t>
      </w:r>
      <w:proofErr w:type="spellStart"/>
      <w:r w:rsidRPr="00E46B46">
        <w:rPr>
          <w:rFonts w:ascii="Times New Roman" w:hAnsi="Times New Roman" w:cs="Times New Roman"/>
        </w:rPr>
        <w:t>Etas</w:t>
      </w:r>
      <w:proofErr w:type="spellEnd"/>
      <w:r w:rsidRPr="00E46B46">
        <w:rPr>
          <w:rFonts w:ascii="Times New Roman" w:hAnsi="Times New Roman" w:cs="Times New Roman"/>
        </w:rPr>
        <w:t xml:space="preserve"> Libri, Milano, 1978.</w:t>
      </w:r>
    </w:p>
    <w:p w14:paraId="78AE630B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CODA V., L'orientamento strategico dell'impresa, Utet, Torino, 1988.</w:t>
      </w:r>
    </w:p>
    <w:p w14:paraId="551A8E5D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 xml:space="preserve">CODA V., </w:t>
      </w:r>
      <w:proofErr w:type="spellStart"/>
      <w:r w:rsidRPr="00E46B46">
        <w:rPr>
          <w:rFonts w:ascii="Times New Roman" w:hAnsi="Times New Roman" w:cs="Times New Roman"/>
        </w:rPr>
        <w:t>Entrepreneurial</w:t>
      </w:r>
      <w:proofErr w:type="spellEnd"/>
      <w:r w:rsidRPr="00E46B46">
        <w:rPr>
          <w:rFonts w:ascii="Times New Roman" w:hAnsi="Times New Roman" w:cs="Times New Roman"/>
        </w:rPr>
        <w:t xml:space="preserve"> </w:t>
      </w:r>
      <w:proofErr w:type="spellStart"/>
      <w:r w:rsidRPr="00E46B46">
        <w:rPr>
          <w:rFonts w:ascii="Times New Roman" w:hAnsi="Times New Roman" w:cs="Times New Roman"/>
        </w:rPr>
        <w:t>Values</w:t>
      </w:r>
      <w:proofErr w:type="spellEnd"/>
      <w:r w:rsidRPr="00E46B46">
        <w:rPr>
          <w:rFonts w:ascii="Times New Roman" w:hAnsi="Times New Roman" w:cs="Times New Roman"/>
        </w:rPr>
        <w:t xml:space="preserve"> and Strategic Management: </w:t>
      </w:r>
      <w:proofErr w:type="spellStart"/>
      <w:r w:rsidRPr="00E46B46">
        <w:rPr>
          <w:rFonts w:ascii="Times New Roman" w:hAnsi="Times New Roman" w:cs="Times New Roman"/>
        </w:rPr>
        <w:t>Essays</w:t>
      </w:r>
      <w:proofErr w:type="spellEnd"/>
      <w:r w:rsidRPr="00E46B46">
        <w:rPr>
          <w:rFonts w:ascii="Times New Roman" w:hAnsi="Times New Roman" w:cs="Times New Roman"/>
        </w:rPr>
        <w:t xml:space="preserve"> in Management Theory, </w:t>
      </w:r>
      <w:proofErr w:type="spellStart"/>
      <w:r w:rsidRPr="00E46B46">
        <w:rPr>
          <w:rFonts w:ascii="Times New Roman" w:hAnsi="Times New Roman" w:cs="Times New Roman"/>
        </w:rPr>
        <w:t>Palgrave</w:t>
      </w:r>
      <w:proofErr w:type="spellEnd"/>
      <w:r w:rsidRPr="00E46B46">
        <w:rPr>
          <w:rFonts w:ascii="Times New Roman" w:hAnsi="Times New Roman" w:cs="Times New Roman"/>
        </w:rPr>
        <w:t xml:space="preserve"> Macmillan, 2010.</w:t>
      </w:r>
    </w:p>
    <w:p w14:paraId="76D458E1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CODA V., MINOJA M., TESSITORE A., VITALE M., Valori d’impresa in azione, Egea, Milano, 2012.</w:t>
      </w:r>
    </w:p>
    <w:p w14:paraId="4B629A70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LAI A. (a cura di), I rapporti tra impresa e lavoro: esperienze collaborative in Francia, Germania e Italia, Egea, Milano, 1997.</w:t>
      </w:r>
    </w:p>
    <w:p w14:paraId="20CB8757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LAI A., La formazione del bilancio di esercizio: gli aspetti generali, la disciplina normativa e i principi contabili, in PALMA A. (a cura di), Il bilancio di esercizio. Profili aziendali, giuridici e principi contabili, Giuffrè, Milano, 2016.</w:t>
      </w:r>
    </w:p>
    <w:p w14:paraId="3B13E77A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MAZZOLA P., La strategia d'impresa: definizione, contenuti e caratteristiche, in A. Cortesi (a cura di), Strategia e Politica aziendale, vol. I, Unicopli, Milano, 1997/1998.</w:t>
      </w:r>
    </w:p>
    <w:p w14:paraId="05A4091E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SANTESSO E., SÒSTERO U., Il bilancio. Principi generali, strutture e regole di valutazione, Il Sole 24 Ore, Milano, 2006.</w:t>
      </w:r>
    </w:p>
    <w:p w14:paraId="00FE768E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STACCHEZZINI R., FLORIO C., Il bilancio d’impresa. Esercizi svolti, Egea, Milano, 2018.</w:t>
      </w:r>
    </w:p>
    <w:p w14:paraId="3D16D0F8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TESSITORE A., Una riconsiderazione del concetto di azienda, in "Rivista italiana di Ragioneria e di Economia Aziendale", n. 3/4, 1997.</w:t>
      </w:r>
    </w:p>
    <w:p w14:paraId="2F5B9A74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lastRenderedPageBreak/>
        <w:t>TESSITORE A., LAI A. (a cura di), Profili competitivi, organizzativi ed economico-finanziari di imprese agro-alimentari, Franco Angeli, Milano, 2004.</w:t>
      </w:r>
    </w:p>
    <w:p w14:paraId="684129B5" w14:textId="77777777" w:rsidR="001B560F" w:rsidRPr="00E46B46" w:rsidRDefault="001B560F" w:rsidP="001B560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VILLA G., Gli elementi di struttura: lo stato patrimoniale e il conto economico, in PALMA A. (a cura di), Il bilancio di esercizio. Profili aziendali, giuridici e principi contabili, Giuffrè, Milano, 2016, pp. 137-149.</w:t>
      </w:r>
    </w:p>
    <w:p w14:paraId="26E9EF3B" w14:textId="77777777" w:rsidR="001B560F" w:rsidRDefault="001B560F" w:rsidP="001B560F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778B622D" w14:textId="77777777" w:rsidR="001B560F" w:rsidRDefault="001B560F" w:rsidP="001B560F">
      <w:pPr>
        <w:rPr>
          <w:rFonts w:ascii="Times New Roman" w:hAnsi="Times New Roman" w:cs="Times New Roman"/>
        </w:rPr>
      </w:pPr>
      <w:r w:rsidRPr="00E46B46">
        <w:rPr>
          <w:rFonts w:ascii="Times New Roman" w:hAnsi="Times New Roman" w:cs="Times New Roman"/>
        </w:rPr>
        <w:t>È previsto lo svolgimento di un</w:t>
      </w:r>
      <w:r>
        <w:rPr>
          <w:rFonts w:ascii="Times New Roman" w:hAnsi="Times New Roman" w:cs="Times New Roman"/>
        </w:rPr>
        <w:t xml:space="preserve">a prova scritta finale che tende ad accertare l’approfondimento delle tematiche affrontate in tutto il corso e nei casi sviluppati per gruppi di lavoro. Ai fini della valutazione complessiva, si tiene contro altresì della partecipazione attiva all’analisi e alla discussione dei casi nonché alla stesura dei rapporti scritti elaborati per gruppi di lavoro. </w:t>
      </w:r>
    </w:p>
    <w:p w14:paraId="0FF327A1" w14:textId="77777777" w:rsidR="00DF42D9" w:rsidRDefault="00DF42D9"/>
    <w:sectPr w:rsidR="00DF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99E"/>
    <w:multiLevelType w:val="hybridMultilevel"/>
    <w:tmpl w:val="F3A0E32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D0E5B"/>
    <w:multiLevelType w:val="hybridMultilevel"/>
    <w:tmpl w:val="CB3666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43B6"/>
    <w:multiLevelType w:val="hybridMultilevel"/>
    <w:tmpl w:val="9E3CD35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41482F"/>
    <w:multiLevelType w:val="hybridMultilevel"/>
    <w:tmpl w:val="E746FF9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3CC2"/>
    <w:multiLevelType w:val="hybridMultilevel"/>
    <w:tmpl w:val="2220780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D1198"/>
    <w:multiLevelType w:val="hybridMultilevel"/>
    <w:tmpl w:val="615ED23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A234C4"/>
    <w:multiLevelType w:val="hybridMultilevel"/>
    <w:tmpl w:val="F6B048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83901"/>
    <w:multiLevelType w:val="hybridMultilevel"/>
    <w:tmpl w:val="52028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4776"/>
    <w:multiLevelType w:val="hybridMultilevel"/>
    <w:tmpl w:val="7682CFBE"/>
    <w:lvl w:ilvl="0" w:tplc="FC7CD9C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D4908"/>
    <w:multiLevelType w:val="hybridMultilevel"/>
    <w:tmpl w:val="0E320A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6527818">
    <w:abstractNumId w:val="8"/>
  </w:num>
  <w:num w:numId="2" w16cid:durableId="780034996">
    <w:abstractNumId w:val="3"/>
  </w:num>
  <w:num w:numId="3" w16cid:durableId="1299997492">
    <w:abstractNumId w:val="0"/>
  </w:num>
  <w:num w:numId="4" w16cid:durableId="2140301756">
    <w:abstractNumId w:val="2"/>
  </w:num>
  <w:num w:numId="5" w16cid:durableId="1970239272">
    <w:abstractNumId w:val="1"/>
  </w:num>
  <w:num w:numId="6" w16cid:durableId="861826199">
    <w:abstractNumId w:val="4"/>
  </w:num>
  <w:num w:numId="7" w16cid:durableId="1868329392">
    <w:abstractNumId w:val="5"/>
  </w:num>
  <w:num w:numId="8" w16cid:durableId="1904218435">
    <w:abstractNumId w:val="9"/>
  </w:num>
  <w:num w:numId="9" w16cid:durableId="862134492">
    <w:abstractNumId w:val="6"/>
  </w:num>
  <w:num w:numId="10" w16cid:durableId="1029254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CD"/>
    <w:rsid w:val="001B560F"/>
    <w:rsid w:val="00255ECD"/>
    <w:rsid w:val="00D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98F8"/>
  <w15:chartTrackingRefBased/>
  <w15:docId w15:val="{35FD5531-D54E-458E-AB38-7104146D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60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56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1B560F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1B560F"/>
    <w:rPr>
      <w:b/>
      <w:bCs/>
      <w:smallCaps/>
      <w:color w:val="4472C4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56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560F"/>
    <w:rPr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Tenca Giada</dc:creator>
  <cp:keywords/>
  <dc:description/>
  <cp:lastModifiedBy>Tenca Giada</cp:lastModifiedBy>
  <cp:revision>2</cp:revision>
  <dcterms:created xsi:type="dcterms:W3CDTF">2023-12-21T09:28:00Z</dcterms:created>
  <dcterms:modified xsi:type="dcterms:W3CDTF">2023-12-21T09:29:00Z</dcterms:modified>
</cp:coreProperties>
</file>