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4D9E" w14:textId="77777777" w:rsidR="005D5F08" w:rsidRPr="0039337F" w:rsidRDefault="005D5F08" w:rsidP="005D5F08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9"/>
      <w:r>
        <w:rPr>
          <w:rFonts w:ascii="Times New Roman" w:hAnsi="Times New Roman" w:cs="Times New Roman"/>
          <w:w w:val="105"/>
        </w:rPr>
        <w:t>MANAGEMENT DELLA DISTRIBUZIONE ALIMENTARE</w:t>
      </w:r>
      <w:bookmarkEnd w:id="0"/>
    </w:p>
    <w:p w14:paraId="5C2C9810" w14:textId="77777777" w:rsidR="005D5F08" w:rsidRPr="00DC33EB" w:rsidRDefault="005D5F08" w:rsidP="005D5F08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DC33EB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DC33EB">
        <w:rPr>
          <w:rFonts w:ascii="Times New Roman" w:hAnsi="Times New Roman" w:cs="Times New Roman"/>
          <w:sz w:val="24"/>
          <w:szCs w:val="24"/>
        </w:rPr>
        <w:t>: Edoardo FORNARI, Professore associato, Facoltà di Scienza Agrarie, Alimentari e Ambientali, Università Cattolica S. Cuore, Piacenza</w:t>
      </w:r>
    </w:p>
    <w:p w14:paraId="35D28CC8" w14:textId="77777777" w:rsidR="005D5F08" w:rsidRPr="00DC33EB" w:rsidRDefault="005D5F08" w:rsidP="005D5F08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DC33EB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Periodo di lezione: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aprile </w:t>
      </w:r>
      <w:r w:rsidRPr="00DC33EB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giugno</w:t>
      </w:r>
    </w:p>
    <w:p w14:paraId="696FAEDE" w14:textId="77777777" w:rsidR="005D5F08" w:rsidRDefault="005D5F08" w:rsidP="005D5F08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DC33EB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3</w:t>
      </w:r>
      <w:r w:rsidRPr="00DC33EB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CFU, </w:t>
      </w:r>
      <w:r w:rsidRPr="00DC33EB">
        <w:rPr>
          <w:rFonts w:ascii="Times New Roman" w:hAnsi="Times New Roman" w:cs="Times New Roman"/>
        </w:rPr>
        <w:t>SSD</w:t>
      </w:r>
      <w:r w:rsidRPr="00DC33EB">
        <w:rPr>
          <w:rFonts w:ascii="Times New Roman" w:hAnsi="Times New Roman" w:cs="Times New Roman"/>
          <w:spacing w:val="-6"/>
        </w:rPr>
        <w:t xml:space="preserve"> </w:t>
      </w:r>
      <w:r w:rsidRPr="00DC33EB">
        <w:rPr>
          <w:rFonts w:ascii="Times New Roman" w:hAnsi="Times New Roman" w:cs="Times New Roman"/>
        </w:rPr>
        <w:t>AGR/01</w:t>
      </w:r>
    </w:p>
    <w:p w14:paraId="7C946F29" w14:textId="77777777" w:rsidR="005D5F08" w:rsidRDefault="005D5F08" w:rsidP="005D5F08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6579630A" w14:textId="77777777" w:rsidR="005D5F08" w:rsidRPr="001E45D4" w:rsidRDefault="005D5F08" w:rsidP="005D5F08">
      <w:pPr>
        <w:jc w:val="both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 xml:space="preserve">Il corso si propone di fornire ai partecipanti le metodologie di analisi e le conoscenze sui temi dell'Economia e della Gestione delle imprese commerciali, mettendo a fuoco le dinamiche competitive del mercato distributivo e le strategie di marketing delle imprese Retail. In particolare, l'obiettivo è quello di contribuire a formare competenze manageriali adeguate </w:t>
      </w:r>
      <w:proofErr w:type="gramStart"/>
      <w:r w:rsidRPr="001E45D4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E45D4">
        <w:rPr>
          <w:rFonts w:ascii="Times New Roman" w:hAnsi="Times New Roman" w:cs="Times New Roman"/>
          <w:sz w:val="24"/>
          <w:szCs w:val="24"/>
        </w:rPr>
        <w:t xml:space="preserve"> operare nel mondo della distribuzione agro-alimentare. In questa prospettiva il corso approfondirà le problematiche del </w:t>
      </w:r>
      <w:proofErr w:type="spellStart"/>
      <w:r w:rsidRPr="001E45D4">
        <w:rPr>
          <w:rFonts w:ascii="Times New Roman" w:hAnsi="Times New Roman" w:cs="Times New Roman"/>
          <w:sz w:val="24"/>
          <w:szCs w:val="24"/>
        </w:rPr>
        <w:t>retailing</w:t>
      </w:r>
      <w:proofErr w:type="spellEnd"/>
      <w:r w:rsidRPr="001E45D4">
        <w:rPr>
          <w:rFonts w:ascii="Times New Roman" w:hAnsi="Times New Roman" w:cs="Times New Roman"/>
          <w:sz w:val="24"/>
          <w:szCs w:val="24"/>
        </w:rPr>
        <w:t>-mix.</w:t>
      </w:r>
    </w:p>
    <w:p w14:paraId="7CD96D3E" w14:textId="77777777" w:rsidR="005D5F08" w:rsidRDefault="005D5F08" w:rsidP="005D5F08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3C40D1F8" w14:textId="77777777" w:rsidR="005D5F08" w:rsidRPr="001E45D4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La natura dei prodotti commerciali</w:t>
      </w:r>
    </w:p>
    <w:p w14:paraId="1DC3E70B" w14:textId="77777777" w:rsidR="005D5F08" w:rsidRPr="001E45D4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Le dimensioni della multi/</w:t>
      </w:r>
      <w:proofErr w:type="spellStart"/>
      <w:r w:rsidRPr="001E45D4">
        <w:rPr>
          <w:rFonts w:ascii="Times New Roman" w:hAnsi="Times New Roman" w:cs="Times New Roman"/>
          <w:sz w:val="24"/>
          <w:szCs w:val="24"/>
        </w:rPr>
        <w:t>omni-canalità</w:t>
      </w:r>
      <w:proofErr w:type="spellEnd"/>
      <w:r w:rsidRPr="001E45D4">
        <w:rPr>
          <w:rFonts w:ascii="Times New Roman" w:hAnsi="Times New Roman" w:cs="Times New Roman"/>
          <w:sz w:val="24"/>
          <w:szCs w:val="24"/>
        </w:rPr>
        <w:t xml:space="preserve"> offline-online</w:t>
      </w:r>
    </w:p>
    <w:p w14:paraId="7F836390" w14:textId="77777777" w:rsidR="005D5F08" w:rsidRPr="001E45D4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Il profilo dei comportamenti di shopping (store loyalty, criteri di selezione dei punti di vendita, livelli di programmazione degli acquisti, etc.)</w:t>
      </w:r>
    </w:p>
    <w:p w14:paraId="6E8F91F5" w14:textId="77777777" w:rsidR="005D5F08" w:rsidRPr="001E45D4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Le politiche di acquisto della Distribuzione (modelli negoziali, scontistica, co-marketing, etc.)</w:t>
      </w:r>
    </w:p>
    <w:p w14:paraId="14DF4D95" w14:textId="77777777" w:rsidR="005D5F08" w:rsidRPr="001E45D4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 xml:space="preserve">Le politiche </w:t>
      </w:r>
      <w:proofErr w:type="spellStart"/>
      <w:r w:rsidRPr="001E45D4">
        <w:rPr>
          <w:rFonts w:ascii="Times New Roman" w:hAnsi="Times New Roman" w:cs="Times New Roman"/>
          <w:sz w:val="24"/>
          <w:szCs w:val="24"/>
        </w:rPr>
        <w:t>assortimentali</w:t>
      </w:r>
      <w:proofErr w:type="spellEnd"/>
      <w:r w:rsidRPr="001E45D4">
        <w:rPr>
          <w:rFonts w:ascii="Times New Roman" w:hAnsi="Times New Roman" w:cs="Times New Roman"/>
          <w:sz w:val="24"/>
          <w:szCs w:val="24"/>
        </w:rPr>
        <w:t xml:space="preserve"> (ampiezza/profondità dell'offerta merceologica, posizionamento delle marche, </w:t>
      </w:r>
      <w:proofErr w:type="spellStart"/>
      <w:r w:rsidRPr="001E45D4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1E45D4">
        <w:rPr>
          <w:rFonts w:ascii="Times New Roman" w:hAnsi="Times New Roman" w:cs="Times New Roman"/>
          <w:sz w:val="24"/>
          <w:szCs w:val="24"/>
        </w:rPr>
        <w:t xml:space="preserve"> Management, scale prezzi, marche private, prodotti tipici, etc.</w:t>
      </w:r>
    </w:p>
    <w:p w14:paraId="55AFFE0E" w14:textId="77777777" w:rsidR="005D5F08" w:rsidRPr="001E45D4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 xml:space="preserve">Le politiche di retail pricing (processi di formazione del prezzo, attività promozionali, volantini, </w:t>
      </w:r>
      <w:proofErr w:type="spellStart"/>
      <w:r w:rsidRPr="001E45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E45D4">
        <w:rPr>
          <w:rFonts w:ascii="Times New Roman" w:hAnsi="Times New Roman" w:cs="Times New Roman"/>
          <w:sz w:val="24"/>
          <w:szCs w:val="24"/>
        </w:rPr>
        <w:t xml:space="preserve"> Day Low Price versus HI-LO price, etc.)</w:t>
      </w:r>
    </w:p>
    <w:p w14:paraId="5BB25060" w14:textId="77777777" w:rsidR="005D5F08" w:rsidRDefault="005D5F08" w:rsidP="005D5F08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Le politiche di merchandising (gestione dei layout e dei display nei punti di vendita, visual merchandising, marketing esperienziale, etc.).</w:t>
      </w:r>
    </w:p>
    <w:p w14:paraId="62C2654A" w14:textId="77777777" w:rsidR="005D5F08" w:rsidRDefault="005D5F08" w:rsidP="005D5F08">
      <w:pPr>
        <w:spacing w:before="160" w:after="120"/>
        <w:rPr>
          <w:rFonts w:ascii="Times New Roman" w:hAnsi="Times New Roman" w:cs="Times New Roman"/>
          <w:sz w:val="24"/>
          <w:szCs w:val="24"/>
        </w:rPr>
      </w:pPr>
    </w:p>
    <w:p w14:paraId="56B4AFBB" w14:textId="77777777" w:rsidR="005D5F08" w:rsidRPr="001E45D4" w:rsidRDefault="005D5F08" w:rsidP="005D5F08">
      <w:pPr>
        <w:spacing w:before="160" w:after="120"/>
        <w:rPr>
          <w:rFonts w:ascii="Times New Roman" w:hAnsi="Times New Roman" w:cs="Times New Roman"/>
          <w:sz w:val="24"/>
          <w:szCs w:val="24"/>
        </w:rPr>
        <w:sectPr w:rsidR="005D5F08" w:rsidRPr="001E45D4" w:rsidSect="0098371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C68FB1" w14:textId="77777777" w:rsidR="005D5F08" w:rsidRDefault="005D5F08" w:rsidP="005D5F08">
      <w:pPr>
        <w:pStyle w:val="Citazioneintensa"/>
        <w:ind w:left="0" w:right="-1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lastRenderedPageBreak/>
        <w:t>BIBLIOGRAFIA</w:t>
      </w:r>
    </w:p>
    <w:p w14:paraId="188375AF" w14:textId="77777777" w:rsidR="005D5F08" w:rsidRPr="0062450E" w:rsidRDefault="005D5F08" w:rsidP="005D5F08">
      <w:pPr>
        <w:jc w:val="both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La bibliografia sarà indicata alla fine di ogni unità di lezione.</w:t>
      </w:r>
    </w:p>
    <w:p w14:paraId="06468222" w14:textId="77777777" w:rsidR="005D5F08" w:rsidRDefault="005D5F08" w:rsidP="005D5F08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59FB17BC" w14:textId="77777777" w:rsidR="005D5F08" w:rsidRDefault="005D5F08" w:rsidP="005D5F08">
      <w:pPr>
        <w:jc w:val="both"/>
        <w:rPr>
          <w:rFonts w:ascii="Times New Roman" w:hAnsi="Times New Roman" w:cs="Times New Roman"/>
          <w:sz w:val="24"/>
          <w:szCs w:val="24"/>
        </w:rPr>
      </w:pPr>
      <w:r w:rsidRPr="001E45D4">
        <w:rPr>
          <w:rFonts w:ascii="Times New Roman" w:hAnsi="Times New Roman" w:cs="Times New Roman"/>
          <w:sz w:val="24"/>
          <w:szCs w:val="24"/>
        </w:rPr>
        <w:t>Esame finale in forma scritta.</w:t>
      </w:r>
    </w:p>
    <w:p w14:paraId="4B597775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8700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0407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1F"/>
    <w:rsid w:val="0002671F"/>
    <w:rsid w:val="005D5F08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4B78"/>
  <w15:chartTrackingRefBased/>
  <w15:docId w15:val="{21702602-1D29-47E8-A0B9-6478DB4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F08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5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5F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5D5F08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5D5F08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5F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5F08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Tenca Giada</cp:lastModifiedBy>
  <cp:revision>2</cp:revision>
  <dcterms:created xsi:type="dcterms:W3CDTF">2023-12-21T11:28:00Z</dcterms:created>
  <dcterms:modified xsi:type="dcterms:W3CDTF">2023-12-21T11:29:00Z</dcterms:modified>
</cp:coreProperties>
</file>